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67F05" w14:textId="42427C08" w:rsidR="008E2561" w:rsidRDefault="00875B1D" w:rsidP="00875B1D">
      <w:pPr>
        <w:jc w:val="center"/>
        <w:rPr>
          <w:b/>
          <w:bCs/>
          <w:sz w:val="32"/>
          <w:szCs w:val="32"/>
        </w:rPr>
      </w:pPr>
      <w:r>
        <w:rPr>
          <w:b/>
          <w:bCs/>
          <w:sz w:val="32"/>
          <w:szCs w:val="32"/>
        </w:rPr>
        <w:t>Temporary Access Fill Calculation</w:t>
      </w:r>
    </w:p>
    <w:p w14:paraId="0B9D105B" w14:textId="62B04FFE" w:rsidR="00875B1D" w:rsidRPr="009D2C15" w:rsidRDefault="00875B1D" w:rsidP="00875B1D">
      <w:pPr>
        <w:rPr>
          <w:b/>
          <w:bCs/>
          <w:sz w:val="28"/>
          <w:szCs w:val="28"/>
        </w:rPr>
      </w:pPr>
      <w:r w:rsidRPr="009D2C15">
        <w:rPr>
          <w:b/>
          <w:bCs/>
          <w:sz w:val="28"/>
          <w:szCs w:val="28"/>
        </w:rPr>
        <w:t>L&amp;D Volume 2 (</w:t>
      </w:r>
      <w:r w:rsidR="00DD6334" w:rsidRPr="009D2C15">
        <w:rPr>
          <w:b/>
          <w:bCs/>
          <w:sz w:val="28"/>
          <w:szCs w:val="28"/>
        </w:rPr>
        <w:t>1010 Waterway Permit Hydraulic Analysis)</w:t>
      </w:r>
    </w:p>
    <w:p w14:paraId="20F9BF6F" w14:textId="44CC76CA" w:rsidR="00DD6334" w:rsidRDefault="00DD6334" w:rsidP="00875B1D">
      <w:pPr>
        <w:rPr>
          <w:sz w:val="24"/>
          <w:szCs w:val="24"/>
        </w:rPr>
      </w:pPr>
      <w:r>
        <w:rPr>
          <w:sz w:val="24"/>
          <w:szCs w:val="24"/>
        </w:rPr>
        <w:t xml:space="preserve">From StreamStats, the highest average monthly flow for the structure occurs in March and is 36.4 cubic feet per second. Standard Temporary Discharge would then become 73 cubic feet per second. </w:t>
      </w:r>
    </w:p>
    <w:p w14:paraId="01968A58" w14:textId="4711D579" w:rsidR="00DD6334" w:rsidRDefault="00DD6334" w:rsidP="006E44CA">
      <w:pPr>
        <w:jc w:val="center"/>
        <w:rPr>
          <w:sz w:val="24"/>
          <w:szCs w:val="24"/>
        </w:rPr>
      </w:pPr>
      <w:r>
        <w:rPr>
          <w:noProof/>
        </w:rPr>
        <w:drawing>
          <wp:inline distT="0" distB="0" distL="0" distR="0" wp14:anchorId="1768EAC3" wp14:editId="6A22AF0E">
            <wp:extent cx="5943600" cy="1710055"/>
            <wp:effectExtent l="0" t="0" r="0" b="444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6"/>
                    <a:stretch>
                      <a:fillRect/>
                    </a:stretch>
                  </pic:blipFill>
                  <pic:spPr>
                    <a:xfrm>
                      <a:off x="0" y="0"/>
                      <a:ext cx="5943600" cy="1710055"/>
                    </a:xfrm>
                    <a:prstGeom prst="rect">
                      <a:avLst/>
                    </a:prstGeom>
                  </pic:spPr>
                </pic:pic>
              </a:graphicData>
            </a:graphic>
          </wp:inline>
        </w:drawing>
      </w:r>
    </w:p>
    <w:p w14:paraId="12375289" w14:textId="0518DA8E" w:rsidR="006E44CA" w:rsidRDefault="006E44CA" w:rsidP="006E44CA">
      <w:pPr>
        <w:jc w:val="center"/>
        <w:rPr>
          <w:sz w:val="24"/>
          <w:szCs w:val="24"/>
        </w:rPr>
      </w:pPr>
      <w:r>
        <w:rPr>
          <w:sz w:val="24"/>
          <w:szCs w:val="24"/>
        </w:rPr>
        <w:t>(StreamStats Monthly Mean Flow)</w:t>
      </w:r>
    </w:p>
    <w:p w14:paraId="72F5EC49" w14:textId="6D5E5115" w:rsidR="00DD6334" w:rsidRDefault="00DD6334" w:rsidP="00875B1D">
      <w:pPr>
        <w:rPr>
          <w:sz w:val="24"/>
          <w:szCs w:val="24"/>
        </w:rPr>
      </w:pPr>
      <w:r>
        <w:rPr>
          <w:sz w:val="24"/>
          <w:szCs w:val="24"/>
        </w:rPr>
        <w:t>Using Hydraulic Toolbox to analyze flow through the bridge cross section</w:t>
      </w:r>
      <w:r w:rsidR="00395633">
        <w:rPr>
          <w:sz w:val="24"/>
          <w:szCs w:val="24"/>
        </w:rPr>
        <w:t>:</w:t>
      </w:r>
    </w:p>
    <w:p w14:paraId="3A60B555" w14:textId="258525DF" w:rsidR="00395633" w:rsidRDefault="00395633" w:rsidP="006E44CA">
      <w:pPr>
        <w:jc w:val="center"/>
        <w:rPr>
          <w:sz w:val="24"/>
          <w:szCs w:val="24"/>
        </w:rPr>
      </w:pPr>
      <w:r>
        <w:rPr>
          <w:noProof/>
        </w:rPr>
        <w:drawing>
          <wp:inline distT="0" distB="0" distL="0" distR="0" wp14:anchorId="6477A532" wp14:editId="42F7B22D">
            <wp:extent cx="5943600" cy="1844675"/>
            <wp:effectExtent l="0" t="0" r="0" b="3175"/>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7"/>
                    <a:stretch>
                      <a:fillRect/>
                    </a:stretch>
                  </pic:blipFill>
                  <pic:spPr>
                    <a:xfrm>
                      <a:off x="0" y="0"/>
                      <a:ext cx="5943600" cy="1844675"/>
                    </a:xfrm>
                    <a:prstGeom prst="rect">
                      <a:avLst/>
                    </a:prstGeom>
                  </pic:spPr>
                </pic:pic>
              </a:graphicData>
            </a:graphic>
          </wp:inline>
        </w:drawing>
      </w:r>
    </w:p>
    <w:p w14:paraId="000A9CE7" w14:textId="7E821B48" w:rsidR="006E44CA" w:rsidRDefault="006E44CA" w:rsidP="006E44CA">
      <w:pPr>
        <w:jc w:val="center"/>
        <w:rPr>
          <w:sz w:val="24"/>
          <w:szCs w:val="24"/>
        </w:rPr>
      </w:pPr>
      <w:r>
        <w:rPr>
          <w:sz w:val="24"/>
          <w:szCs w:val="24"/>
        </w:rPr>
        <w:t>(Bridge Cross section with TAF modeled in Hydraulic Toolbox)</w:t>
      </w:r>
    </w:p>
    <w:p w14:paraId="1CBAC530" w14:textId="605DA33F" w:rsidR="00395633" w:rsidRDefault="00395633" w:rsidP="006E44CA">
      <w:pPr>
        <w:jc w:val="center"/>
        <w:rPr>
          <w:sz w:val="24"/>
          <w:szCs w:val="24"/>
        </w:rPr>
      </w:pPr>
      <w:r>
        <w:rPr>
          <w:noProof/>
        </w:rPr>
        <w:lastRenderedPageBreak/>
        <w:drawing>
          <wp:inline distT="0" distB="0" distL="0" distR="0" wp14:anchorId="6BCA208B" wp14:editId="444F5CCC">
            <wp:extent cx="5114925" cy="4400550"/>
            <wp:effectExtent l="0" t="0" r="9525" b="0"/>
            <wp:docPr id="4" name="Picture 4" descr="Graphical user interface,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able&#10;&#10;Description automatically generated"/>
                    <pic:cNvPicPr/>
                  </pic:nvPicPr>
                  <pic:blipFill>
                    <a:blip r:embed="rId8"/>
                    <a:stretch>
                      <a:fillRect/>
                    </a:stretch>
                  </pic:blipFill>
                  <pic:spPr>
                    <a:xfrm>
                      <a:off x="0" y="0"/>
                      <a:ext cx="5114925" cy="4400550"/>
                    </a:xfrm>
                    <a:prstGeom prst="rect">
                      <a:avLst/>
                    </a:prstGeom>
                  </pic:spPr>
                </pic:pic>
              </a:graphicData>
            </a:graphic>
          </wp:inline>
        </w:drawing>
      </w:r>
    </w:p>
    <w:p w14:paraId="034C9F1A" w14:textId="5DF2FFAD" w:rsidR="006E44CA" w:rsidRDefault="006E44CA" w:rsidP="006E44CA">
      <w:pPr>
        <w:jc w:val="center"/>
        <w:rPr>
          <w:sz w:val="24"/>
          <w:szCs w:val="24"/>
        </w:rPr>
      </w:pPr>
      <w:r>
        <w:rPr>
          <w:sz w:val="24"/>
          <w:szCs w:val="24"/>
        </w:rPr>
        <w:t>(Hydraulic Toolbox results using StreamStats data and bridge cross section)</w:t>
      </w:r>
    </w:p>
    <w:p w14:paraId="4E477D9E" w14:textId="77F01835" w:rsidR="006E44CA" w:rsidRDefault="006E44CA" w:rsidP="006E44CA">
      <w:pPr>
        <w:rPr>
          <w:sz w:val="24"/>
          <w:szCs w:val="24"/>
        </w:rPr>
      </w:pPr>
      <w:r>
        <w:rPr>
          <w:sz w:val="24"/>
          <w:szCs w:val="24"/>
        </w:rPr>
        <w:t xml:space="preserve">TAF elevation was set to </w:t>
      </w:r>
      <w:r w:rsidR="00B3231C">
        <w:rPr>
          <w:sz w:val="24"/>
          <w:szCs w:val="24"/>
        </w:rPr>
        <w:t xml:space="preserve">945.60’ (1 foot above the field measured and documented Ordinary </w:t>
      </w:r>
      <w:proofErr w:type="gramStart"/>
      <w:r w:rsidR="00B3231C">
        <w:rPr>
          <w:sz w:val="24"/>
          <w:szCs w:val="24"/>
        </w:rPr>
        <w:t>High Water</w:t>
      </w:r>
      <w:proofErr w:type="gramEnd"/>
      <w:r w:rsidR="00B3231C">
        <w:rPr>
          <w:sz w:val="24"/>
          <w:szCs w:val="24"/>
        </w:rPr>
        <w:t xml:space="preserve"> Mark of 944.60 feet) in the bridge channel cross section. The model resulted in a flow reaching an elevation of 943.57 feet or approximately 2 feet below the top of the TAF material</w:t>
      </w:r>
      <w:r w:rsidR="008F66C8">
        <w:rPr>
          <w:sz w:val="24"/>
          <w:szCs w:val="24"/>
        </w:rPr>
        <w:t xml:space="preserve"> and 1 foot below the Ordinary </w:t>
      </w:r>
      <w:proofErr w:type="gramStart"/>
      <w:r w:rsidR="008F66C8">
        <w:rPr>
          <w:sz w:val="24"/>
          <w:szCs w:val="24"/>
        </w:rPr>
        <w:t>High Water</w:t>
      </w:r>
      <w:proofErr w:type="gramEnd"/>
      <w:r w:rsidR="008F66C8">
        <w:rPr>
          <w:sz w:val="24"/>
          <w:szCs w:val="24"/>
        </w:rPr>
        <w:t xml:space="preserve"> Mark</w:t>
      </w:r>
      <w:r w:rsidR="00B3231C">
        <w:rPr>
          <w:sz w:val="24"/>
          <w:szCs w:val="24"/>
        </w:rPr>
        <w:t>. The model</w:t>
      </w:r>
      <w:r w:rsidR="009D2C15">
        <w:rPr>
          <w:sz w:val="24"/>
          <w:szCs w:val="24"/>
        </w:rPr>
        <w:t xml:space="preserve"> also</w:t>
      </w:r>
      <w:r w:rsidR="00B3231C">
        <w:rPr>
          <w:sz w:val="24"/>
          <w:szCs w:val="24"/>
        </w:rPr>
        <w:t xml:space="preserve"> assumed </w:t>
      </w:r>
      <w:r w:rsidR="009D2C15">
        <w:rPr>
          <w:sz w:val="24"/>
          <w:szCs w:val="24"/>
        </w:rPr>
        <w:t xml:space="preserve">both piers are to be worked on at the same time. </w:t>
      </w:r>
    </w:p>
    <w:p w14:paraId="00D103EC" w14:textId="6D901A0C" w:rsidR="009D2C15" w:rsidRDefault="009D2C15" w:rsidP="006E44CA">
      <w:pPr>
        <w:rPr>
          <w:sz w:val="24"/>
          <w:szCs w:val="24"/>
        </w:rPr>
      </w:pPr>
    </w:p>
    <w:p w14:paraId="4C4429BB" w14:textId="58451CAA" w:rsidR="009D2C15" w:rsidRDefault="009D2C15" w:rsidP="006E44CA">
      <w:pPr>
        <w:rPr>
          <w:b/>
          <w:bCs/>
          <w:sz w:val="28"/>
          <w:szCs w:val="28"/>
        </w:rPr>
      </w:pPr>
      <w:r w:rsidRPr="009D2C15">
        <w:rPr>
          <w:b/>
          <w:bCs/>
          <w:sz w:val="28"/>
          <w:szCs w:val="28"/>
        </w:rPr>
        <w:t>Conclusion</w:t>
      </w:r>
    </w:p>
    <w:p w14:paraId="2E0823B5" w14:textId="537DA60B" w:rsidR="00875B1D" w:rsidRPr="00875B1D" w:rsidRDefault="009D2C15" w:rsidP="000D1BB9">
      <w:pPr>
        <w:rPr>
          <w:sz w:val="24"/>
          <w:szCs w:val="24"/>
        </w:rPr>
      </w:pPr>
      <w:r>
        <w:rPr>
          <w:sz w:val="24"/>
          <w:szCs w:val="24"/>
        </w:rPr>
        <w:t xml:space="preserve">The TAF required to work on MER-716-0015 bridge piers meets L&amp;D Vol 2 design criteria </w:t>
      </w:r>
      <w:r w:rsidR="009F18BE">
        <w:rPr>
          <w:sz w:val="24"/>
          <w:szCs w:val="24"/>
        </w:rPr>
        <w:t>for Temporary Access Fills. Both piers can be worked on simultaneously without the need for special consideration to provide more flow through the bridge channel cross-section.</w:t>
      </w:r>
    </w:p>
    <w:sectPr w:rsidR="00875B1D" w:rsidRPr="00875B1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25047" w14:textId="77777777" w:rsidR="006B3E68" w:rsidRDefault="006B3E68" w:rsidP="00875B1D">
      <w:pPr>
        <w:spacing w:after="0" w:line="240" w:lineRule="auto"/>
      </w:pPr>
      <w:r>
        <w:separator/>
      </w:r>
    </w:p>
  </w:endnote>
  <w:endnote w:type="continuationSeparator" w:id="0">
    <w:p w14:paraId="6C613376" w14:textId="77777777" w:rsidR="006B3E68" w:rsidRDefault="006B3E68" w:rsidP="00875B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A67C4" w14:textId="77777777" w:rsidR="005E324E" w:rsidRDefault="005E32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9EBAB" w14:textId="77777777" w:rsidR="005E324E" w:rsidRDefault="005E32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8F5B" w14:textId="77777777" w:rsidR="005E324E" w:rsidRDefault="005E32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21A66" w14:textId="77777777" w:rsidR="006B3E68" w:rsidRDefault="006B3E68" w:rsidP="00875B1D">
      <w:pPr>
        <w:spacing w:after="0" w:line="240" w:lineRule="auto"/>
      </w:pPr>
      <w:r>
        <w:separator/>
      </w:r>
    </w:p>
  </w:footnote>
  <w:footnote w:type="continuationSeparator" w:id="0">
    <w:p w14:paraId="77F1BB68" w14:textId="77777777" w:rsidR="006B3E68" w:rsidRDefault="006B3E68" w:rsidP="00875B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AC96E" w14:textId="77777777" w:rsidR="005E324E" w:rsidRDefault="005E32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1C167" w14:textId="782A4076" w:rsidR="005E262C" w:rsidRDefault="005E262C" w:rsidP="00875B1D">
    <w:pPr>
      <w:spacing w:after="0" w:line="240" w:lineRule="auto"/>
      <w:jc w:val="right"/>
      <w:rPr>
        <w:sz w:val="24"/>
        <w:szCs w:val="24"/>
      </w:rPr>
    </w:pPr>
    <w:r>
      <w:rPr>
        <w:sz w:val="24"/>
        <w:szCs w:val="24"/>
      </w:rPr>
      <w:t>PID: 114956</w:t>
    </w:r>
  </w:p>
  <w:p w14:paraId="2723B161" w14:textId="20AA5453" w:rsidR="00875B1D" w:rsidRDefault="00875B1D" w:rsidP="00875B1D">
    <w:pPr>
      <w:spacing w:after="0" w:line="240" w:lineRule="auto"/>
      <w:jc w:val="right"/>
      <w:rPr>
        <w:sz w:val="24"/>
        <w:szCs w:val="24"/>
      </w:rPr>
    </w:pPr>
    <w:r>
      <w:rPr>
        <w:sz w:val="24"/>
        <w:szCs w:val="24"/>
      </w:rPr>
      <w:t>Structure: MER-716-0015</w:t>
    </w:r>
  </w:p>
  <w:p w14:paraId="526435DD" w14:textId="050EE2E9" w:rsidR="00875B1D" w:rsidRDefault="00875B1D" w:rsidP="00875B1D">
    <w:pPr>
      <w:spacing w:after="0" w:line="240" w:lineRule="auto"/>
      <w:jc w:val="right"/>
      <w:rPr>
        <w:sz w:val="24"/>
        <w:szCs w:val="24"/>
      </w:rPr>
    </w:pPr>
    <w:r>
      <w:rPr>
        <w:sz w:val="24"/>
        <w:szCs w:val="24"/>
      </w:rPr>
      <w:t>Calc: LCG</w:t>
    </w:r>
  </w:p>
  <w:p w14:paraId="69734350" w14:textId="2B7FA79D" w:rsidR="00875B1D" w:rsidRDefault="00875B1D" w:rsidP="00875B1D">
    <w:pPr>
      <w:spacing w:after="0" w:line="240" w:lineRule="auto"/>
      <w:jc w:val="right"/>
      <w:rPr>
        <w:sz w:val="24"/>
        <w:szCs w:val="24"/>
      </w:rPr>
    </w:pPr>
    <w:r>
      <w:rPr>
        <w:sz w:val="24"/>
        <w:szCs w:val="24"/>
      </w:rPr>
      <w:t>Date: 4/5/22</w:t>
    </w:r>
  </w:p>
  <w:p w14:paraId="0C780192" w14:textId="567E72D2" w:rsidR="00395633" w:rsidRDefault="00395633" w:rsidP="00395633">
    <w:pPr>
      <w:spacing w:after="0" w:line="240" w:lineRule="auto"/>
      <w:jc w:val="right"/>
      <w:rPr>
        <w:sz w:val="24"/>
        <w:szCs w:val="24"/>
      </w:rPr>
    </w:pPr>
    <w:r>
      <w:rPr>
        <w:sz w:val="24"/>
        <w:szCs w:val="24"/>
      </w:rPr>
      <w:t>Page #</w:t>
    </w:r>
    <w:r w:rsidRPr="00395633">
      <w:rPr>
        <w:sz w:val="24"/>
        <w:szCs w:val="24"/>
      </w:rPr>
      <w:fldChar w:fldCharType="begin"/>
    </w:r>
    <w:r w:rsidRPr="00395633">
      <w:rPr>
        <w:sz w:val="24"/>
        <w:szCs w:val="24"/>
      </w:rPr>
      <w:instrText xml:space="preserve"> PAGE   \* MERGEFORMAT </w:instrText>
    </w:r>
    <w:r w:rsidRPr="00395633">
      <w:rPr>
        <w:sz w:val="24"/>
        <w:szCs w:val="24"/>
      </w:rPr>
      <w:fldChar w:fldCharType="separate"/>
    </w:r>
    <w:r w:rsidRPr="00395633">
      <w:rPr>
        <w:noProof/>
        <w:sz w:val="24"/>
        <w:szCs w:val="24"/>
      </w:rPr>
      <w:t>1</w:t>
    </w:r>
    <w:r w:rsidRPr="00395633">
      <w:rPr>
        <w:noProof/>
        <w:sz w:val="24"/>
        <w:szCs w:val="24"/>
      </w:rPr>
      <w:fldChar w:fldCharType="end"/>
    </w:r>
  </w:p>
  <w:p w14:paraId="4D0C042B" w14:textId="77777777" w:rsidR="00875B1D" w:rsidRDefault="00875B1D" w:rsidP="00875B1D">
    <w:pPr>
      <w:pStyle w:val="Header"/>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23FE" w14:textId="77777777" w:rsidR="005E324E" w:rsidRDefault="005E32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B1D"/>
    <w:rsid w:val="000D1BB9"/>
    <w:rsid w:val="00395633"/>
    <w:rsid w:val="005E262C"/>
    <w:rsid w:val="005E324E"/>
    <w:rsid w:val="006B3E68"/>
    <w:rsid w:val="006E44CA"/>
    <w:rsid w:val="00875B1D"/>
    <w:rsid w:val="008E2561"/>
    <w:rsid w:val="008F66C8"/>
    <w:rsid w:val="009D2C15"/>
    <w:rsid w:val="009F18BE"/>
    <w:rsid w:val="00B3231C"/>
    <w:rsid w:val="00DD6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FE9878"/>
  <w15:chartTrackingRefBased/>
  <w15:docId w15:val="{B767D70F-FDC6-4C09-ADDB-FCE43158E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5B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5B1D"/>
  </w:style>
  <w:style w:type="paragraph" w:styleId="Footer">
    <w:name w:val="footer"/>
    <w:basedOn w:val="Normal"/>
    <w:link w:val="FooterChar"/>
    <w:uiPriority w:val="99"/>
    <w:unhideWhenUsed/>
    <w:rsid w:val="00875B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5B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193</Words>
  <Characters>1008</Characters>
  <Application>Microsoft Office Word</Application>
  <DocSecurity>0</DocSecurity>
  <Lines>22</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Gerlinger, Lawton</dc:creator>
  <cp:keywords/>
  <dc:description/>
  <cp:lastModifiedBy>Gerlinger, Lawton</cp:lastModifiedBy>
  <cp:revision>4</cp:revision>
  <dcterms:created xsi:type="dcterms:W3CDTF">2022-04-05T13:23:00Z</dcterms:created>
  <dcterms:modified xsi:type="dcterms:W3CDTF">2023-11-07T19:50:00Z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